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AA58C7">
        <w:rPr>
          <w:rFonts w:ascii="Times New Roman" w:hAnsi="Times New Roman"/>
          <w:b/>
          <w:shd w:val="clear" w:color="auto" w:fill="FFFFFF"/>
        </w:rPr>
        <w:t>3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AA58C7" w:rsidRPr="00AA58C7">
        <w:rPr>
          <w:rFonts w:ascii="Times New Roman" w:hAnsi="Times New Roman"/>
          <w:b/>
          <w:i/>
          <w:sz w:val="22"/>
          <w:szCs w:val="22"/>
        </w:rPr>
        <w:t>Dostawa wyposażenia i oprogramowania dla Zespołu Szkół Samochodowych w Żywcu w ramach projektu „Czas na zawodowców z Powiatu Żywieckiego”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2"/>
          <w:shd w:val="clear" w:color="auto" w:fill="FFFFFF"/>
        </w:rPr>
      </w:pP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 xml:space="preserve">Dla części zamówienia nr 1 – 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„</w:t>
      </w:r>
      <w:r w:rsidR="00AA58C7" w:rsidRPr="00AA58C7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Dostawa wyposażenia dla Zespołu Szkół Samochodowych w Żywcu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”</w:t>
      </w: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>:</w:t>
      </w: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D110DD" w:rsidTr="00AA58C7">
        <w:trPr>
          <w:trHeight w:val="6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0DD" w:rsidRPr="00D110DD" w:rsidRDefault="00D110DD" w:rsidP="00183C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 xml:space="preserve">Nazwa </w:t>
            </w:r>
            <w:r w:rsidR="00183CE0">
              <w:rPr>
                <w:rFonts w:ascii="Times New Roman" w:hAnsi="Times New Roman"/>
                <w:b/>
              </w:rPr>
              <w:t>wyposażenia</w:t>
            </w:r>
            <w:r w:rsidRPr="00D110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narzędziowa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warsztatowa metalowa o wysokości min 180 cm, szerokości min 90cm, głębokości min.40 cm.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Min. 4 półki o udźwigu min.70kg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Zamykana na kluczyk.</w:t>
            </w:r>
          </w:p>
        </w:tc>
      </w:tr>
      <w:tr w:rsidR="00AA58C7" w:rsidTr="00C727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Stół warsztatowy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Stół warsztatowy o min. wymiarach: 170x60x84cm,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blat o grub</w:t>
            </w:r>
            <w:r>
              <w:rPr>
                <w:rFonts w:ascii="Times New Roman" w:hAnsi="Times New Roman"/>
                <w:color w:val="000000"/>
                <w:lang w:eastAsia="pl-PL"/>
              </w:rPr>
              <w:t>ości min. 40 mm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Min. 3 szuflady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Podnośnik 2 kolumnowy 4t z  przystosowany do pomiaru i regulacji geometrii samochodu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Podnośnik dwukolumnowy o udźwigu 4 ton, cechy:                                                      </w:t>
            </w:r>
          </w:p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automatyczny system zwalniania mechanizmów blokujących.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Ramiona asymetryczne regulowane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Napęd elektro-hydrauliczny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Synchronizacja poprowadzona  górą podnośnika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Blokada ramion przy podnoszeniu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Regulowana wysokość podpór gumowych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Pełna dokumentacja od sprzedawcy pod UDT, deklaracja zgodności, certyfikat CE, polska instrukcja obsługi, protokół montażowy</w:t>
            </w:r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Montaż podnośnika w cenie zakupu.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CB radio z anteną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Częstotliwość: 25.615 - 28.325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Modulacja: AM/FM/USB/LSB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Zasilanie: 13,8 V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Moc nadajnika: 12W AM, 40W FM, 30W SSB, regulowana,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lastRenderedPageBreak/>
              <w:t>Gniazdko mikrofonowe:4-pin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Automatyczna blokada szumów,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płynne tłumienie odbiornika,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filtr przeciwzakłóceniowy,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 xml:space="preserve">filtr typu HI-CUT. 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lastRenderedPageBreak/>
              <w:t>Urządzenie do kalibracji systemów ADAS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System do kalibracji radarów i kamer samochodowych  systemów ADAS z kompletem ekranów do samochodów osobowych. Zestaw zawiera minimum pojazdy z grupy VAG, Renault, Ford, Nissan, Mercedes,  Toyota.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Urządzanie kompletne z komputerem diagnostycznym, oprogramowaniem, ramą do kalibracji, zestawami paneli do kamer przednich i bocznych oraz do radarów ADAS.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Zestaw zawiera wszystkie elementy i licencje niezbędne do poprawnego i bezterminowego działania.</w:t>
            </w:r>
          </w:p>
        </w:tc>
      </w:tr>
    </w:tbl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 xml:space="preserve">Dla części zamówienia nr 2 – 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„</w:t>
      </w:r>
      <w:r w:rsidR="00AA58C7" w:rsidRPr="00AA58C7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Dostawa oprogramowania dla Zespołu Szkół Samochodowych w Żywcu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”</w:t>
      </w: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>:</w:t>
      </w: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D110DD" w:rsidTr="00AA58C7">
        <w:trPr>
          <w:trHeight w:val="6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0DD" w:rsidRPr="00D110DD" w:rsidRDefault="00D110DD" w:rsidP="00183C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 xml:space="preserve">Nazwa </w:t>
            </w:r>
            <w:r w:rsidR="00183CE0">
              <w:rPr>
                <w:rFonts w:ascii="Times New Roman" w:hAnsi="Times New Roman"/>
                <w:b/>
              </w:rPr>
              <w:t>oprogramowania</w:t>
            </w:r>
            <w:r w:rsidRPr="00D110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89" w:type="dxa"/>
            <w:shd w:val="clear" w:color="auto" w:fill="D9D9D9" w:themeFill="background1" w:themeFillShade="D9"/>
            <w:vAlign w:val="center"/>
          </w:tcPr>
          <w:p w:rsidR="00D110DD" w:rsidRPr="00D110DD" w:rsidRDefault="00D110DD" w:rsidP="00C965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Oprogramowanie do wyznaczania tr</w:t>
            </w:r>
            <w:bookmarkStart w:id="0" w:name="_GoBack"/>
            <w:bookmarkEnd w:id="0"/>
            <w:r w:rsidRPr="00AA58C7">
              <w:rPr>
                <w:rFonts w:ascii="Times New Roman" w:hAnsi="Times New Roman"/>
                <w:color w:val="000000"/>
                <w:lang w:eastAsia="pl-PL"/>
              </w:rPr>
              <w:t>as</w:t>
            </w:r>
          </w:p>
        </w:tc>
        <w:tc>
          <w:tcPr>
            <w:tcW w:w="1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Oprogramowanie do wyznaczania tras pojazdów ciężarowych, cechy oprogramowania: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Planowanie i optymalizacja zadań dla jednego lub wielu pojazdów.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Podgląd na mapach planowanych tras dla wielu pojazdów wraz ze wszystkimi zadaniami i szczegółami realizacji.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Możliwość ręcznej edycji tras, kolejności punktów, przydzielania zadań bezpośrednio z pozycji map.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Oprogramowanie wspomagające zarządzanie firmą transportową</w:t>
            </w:r>
          </w:p>
        </w:tc>
        <w:tc>
          <w:tcPr>
            <w:tcW w:w="1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Oprogramowanie służące do: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ewidencji przebiegu pojazdów;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obliczania kilometrówki;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planowania napraw i przeglądów;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analizy zużycia paliwa;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powiadamiania o ubezpieczeniach OC/AC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kontroli kierowców.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Program do ewidencji i analizy danych z tachografów cyfrowych i analogowych</w:t>
            </w:r>
          </w:p>
        </w:tc>
        <w:tc>
          <w:tcPr>
            <w:tcW w:w="1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Program służący do tworzenia ewidencji oraz rozliczania czasu pracy kierowców w oparciu o dane przechowywane na kartach kierowców lub tarczach tachografów.</w:t>
            </w:r>
          </w:p>
        </w:tc>
      </w:tr>
      <w:tr w:rsidR="00AA58C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Symulator tachografu cyfrowego</w:t>
            </w:r>
          </w:p>
        </w:tc>
        <w:tc>
          <w:tcPr>
            <w:tcW w:w="1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Oprogramowanie, które symuluje pracę tachografu cyfrowego stosowanego w samochodach ciężarowych i autobusach.</w:t>
            </w:r>
          </w:p>
        </w:tc>
      </w:tr>
      <w:tr w:rsidR="00AA58C7" w:rsidTr="00AA58C7">
        <w:trPr>
          <w:trHeight w:val="823"/>
        </w:trPr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8C7" w:rsidRPr="00D110DD" w:rsidRDefault="00AA58C7" w:rsidP="00AA58C7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8C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Uwaga: Istnieje możliwość połączenia funkcji kilku programów w/w </w:t>
            </w:r>
            <w:proofErr w:type="spellStart"/>
            <w:r w:rsidRPr="00AA58C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w</w:t>
            </w:r>
            <w:proofErr w:type="spellEnd"/>
            <w:r w:rsidRPr="00AA58C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jednym programie, który będzie spełniał wymagane minimalne parametry.</w:t>
            </w:r>
          </w:p>
        </w:tc>
      </w:tr>
    </w:tbl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p w:rsidR="00F02E19" w:rsidRPr="003C64C2" w:rsidRDefault="00F02E19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F02E19" w:rsidRPr="003C64C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56" w:rsidRDefault="000F4256" w:rsidP="007436D3">
      <w:pPr>
        <w:spacing w:after="0" w:line="240" w:lineRule="auto"/>
      </w:pPr>
      <w:r>
        <w:separator/>
      </w:r>
    </w:p>
  </w:endnote>
  <w:endnote w:type="continuationSeparator" w:id="0">
    <w:p w:rsidR="000F4256" w:rsidRDefault="000F4256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183CE0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56" w:rsidRDefault="000F4256" w:rsidP="007436D3">
      <w:pPr>
        <w:spacing w:after="0" w:line="240" w:lineRule="auto"/>
      </w:pPr>
      <w:r>
        <w:separator/>
      </w:r>
    </w:p>
  </w:footnote>
  <w:footnote w:type="continuationSeparator" w:id="0">
    <w:p w:rsidR="000F4256" w:rsidRDefault="000F4256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A372E"/>
    <w:multiLevelType w:val="hybridMultilevel"/>
    <w:tmpl w:val="28602F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F67A0A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04F1B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F7AA1"/>
    <w:multiLevelType w:val="hybridMultilevel"/>
    <w:tmpl w:val="34B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9F23106"/>
    <w:multiLevelType w:val="hybridMultilevel"/>
    <w:tmpl w:val="D14873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34A2B"/>
    <w:multiLevelType w:val="hybridMultilevel"/>
    <w:tmpl w:val="283279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618D"/>
    <w:multiLevelType w:val="hybridMultilevel"/>
    <w:tmpl w:val="2290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2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39"/>
  </w:num>
  <w:num w:numId="5">
    <w:abstractNumId w:val="42"/>
  </w:num>
  <w:num w:numId="6">
    <w:abstractNumId w:val="12"/>
  </w:num>
  <w:num w:numId="7">
    <w:abstractNumId w:val="20"/>
  </w:num>
  <w:num w:numId="8">
    <w:abstractNumId w:val="32"/>
  </w:num>
  <w:num w:numId="9">
    <w:abstractNumId w:val="34"/>
  </w:num>
  <w:num w:numId="10">
    <w:abstractNumId w:val="4"/>
  </w:num>
  <w:num w:numId="11">
    <w:abstractNumId w:val="37"/>
  </w:num>
  <w:num w:numId="12">
    <w:abstractNumId w:val="15"/>
  </w:num>
  <w:num w:numId="13">
    <w:abstractNumId w:val="9"/>
  </w:num>
  <w:num w:numId="14">
    <w:abstractNumId w:val="25"/>
  </w:num>
  <w:num w:numId="15">
    <w:abstractNumId w:val="38"/>
  </w:num>
  <w:num w:numId="16">
    <w:abstractNumId w:val="19"/>
  </w:num>
  <w:num w:numId="17">
    <w:abstractNumId w:val="30"/>
  </w:num>
  <w:num w:numId="18">
    <w:abstractNumId w:val="28"/>
  </w:num>
  <w:num w:numId="19">
    <w:abstractNumId w:val="18"/>
  </w:num>
  <w:num w:numId="20">
    <w:abstractNumId w:val="29"/>
  </w:num>
  <w:num w:numId="21">
    <w:abstractNumId w:val="0"/>
  </w:num>
  <w:num w:numId="22">
    <w:abstractNumId w:val="27"/>
  </w:num>
  <w:num w:numId="23">
    <w:abstractNumId w:val="36"/>
  </w:num>
  <w:num w:numId="24">
    <w:abstractNumId w:val="40"/>
  </w:num>
  <w:num w:numId="25">
    <w:abstractNumId w:val="43"/>
  </w:num>
  <w:num w:numId="26">
    <w:abstractNumId w:val="16"/>
  </w:num>
  <w:num w:numId="27">
    <w:abstractNumId w:val="22"/>
  </w:num>
  <w:num w:numId="28">
    <w:abstractNumId w:val="44"/>
  </w:num>
  <w:num w:numId="29">
    <w:abstractNumId w:val="6"/>
  </w:num>
  <w:num w:numId="30">
    <w:abstractNumId w:val="26"/>
  </w:num>
  <w:num w:numId="31">
    <w:abstractNumId w:val="8"/>
  </w:num>
  <w:num w:numId="32">
    <w:abstractNumId w:val="13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3"/>
  </w:num>
  <w:num w:numId="38">
    <w:abstractNumId w:val="41"/>
  </w:num>
  <w:num w:numId="39">
    <w:abstractNumId w:val="35"/>
  </w:num>
  <w:num w:numId="40">
    <w:abstractNumId w:val="10"/>
  </w:num>
  <w:num w:numId="41">
    <w:abstractNumId w:val="1"/>
  </w:num>
  <w:num w:numId="42">
    <w:abstractNumId w:val="2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0F4256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83CE0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3545C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9BE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629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46CA1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4F10ED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65C3D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146D"/>
    <w:rsid w:val="009B4917"/>
    <w:rsid w:val="009C011B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8C7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110DD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0066F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C1A91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Bartek</cp:lastModifiedBy>
  <cp:revision>6</cp:revision>
  <cp:lastPrinted>2018-03-22T21:36:00Z</cp:lastPrinted>
  <dcterms:created xsi:type="dcterms:W3CDTF">2021-11-21T15:14:00Z</dcterms:created>
  <dcterms:modified xsi:type="dcterms:W3CDTF">2021-12-20T16:26:00Z</dcterms:modified>
</cp:coreProperties>
</file>